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56A2" w14:textId="1DAA20B6" w:rsidR="36B81010" w:rsidRDefault="6722F129" w:rsidP="00ED08A2">
      <w:pPr>
        <w:pStyle w:val="Title"/>
      </w:pPr>
      <w:r w:rsidRPr="27A37AF8">
        <w:t>Child and Youth Risk Management Strategy</w:t>
      </w:r>
      <w:r w:rsidRPr="27A37AF8">
        <w:rPr>
          <w:sz w:val="22"/>
          <w:szCs w:val="22"/>
        </w:rPr>
        <w:t xml:space="preserve"> </w:t>
      </w:r>
    </w:p>
    <w:p w14:paraId="225FEC6F" w14:textId="5AA0A91A" w:rsidR="70DB60BE" w:rsidRDefault="70DB60BE" w:rsidP="4CAC7F6E">
      <w:pPr>
        <w:rPr>
          <w:rFonts w:ascii="Arial" w:eastAsia="Arial" w:hAnsi="Arial" w:cs="Arial"/>
          <w:sz w:val="22"/>
          <w:szCs w:val="22"/>
        </w:rPr>
      </w:pPr>
      <w:r w:rsidRPr="4CAC7F6E">
        <w:rPr>
          <w:rFonts w:ascii="Arial" w:eastAsia="Arial" w:hAnsi="Arial" w:cs="Arial"/>
          <w:sz w:val="22"/>
          <w:szCs w:val="22"/>
        </w:rPr>
        <w:t xml:space="preserve">The </w:t>
      </w:r>
      <w:r w:rsidR="00ED08A2" w:rsidRPr="4CAC7F6E">
        <w:rPr>
          <w:rFonts w:ascii="Arial" w:eastAsia="Arial" w:hAnsi="Arial" w:cs="Arial"/>
          <w:sz w:val="22"/>
          <w:szCs w:val="22"/>
        </w:rPr>
        <w:t>table below</w:t>
      </w:r>
      <w:r w:rsidRPr="4CAC7F6E">
        <w:rPr>
          <w:rFonts w:ascii="Arial" w:eastAsia="Arial" w:hAnsi="Arial" w:cs="Arial"/>
          <w:sz w:val="22"/>
          <w:szCs w:val="22"/>
        </w:rPr>
        <w:t xml:space="preserve"> maps the legislative requirements for a Child and Youth Risk Management Strategy, with relevant sections of the </w:t>
      </w:r>
      <w:r w:rsidR="73BDAB9E" w:rsidRPr="4CAC7F6E">
        <w:rPr>
          <w:rFonts w:ascii="Arial" w:eastAsia="Arial" w:hAnsi="Arial" w:cs="Arial"/>
          <w:sz w:val="22"/>
          <w:szCs w:val="22"/>
        </w:rPr>
        <w:t>VA Child Safe Policy and Guiding Procedure</w:t>
      </w:r>
      <w:r w:rsidR="4780DAFC" w:rsidRPr="4CAC7F6E">
        <w:rPr>
          <w:rFonts w:ascii="Arial" w:eastAsia="Arial" w:hAnsi="Arial" w:cs="Arial"/>
          <w:sz w:val="22"/>
          <w:szCs w:val="22"/>
        </w:rPr>
        <w:t xml:space="preserve"> </w:t>
      </w:r>
      <w:r w:rsidRPr="4CAC7F6E">
        <w:rPr>
          <w:rFonts w:ascii="Arial" w:eastAsia="Arial" w:hAnsi="Arial" w:cs="Arial"/>
          <w:sz w:val="22"/>
          <w:szCs w:val="22"/>
        </w:rPr>
        <w:t>and the National Principles for Child Safe Organisations.</w:t>
      </w:r>
    </w:p>
    <w:tbl>
      <w:tblPr>
        <w:tblStyle w:val="TableGrid"/>
        <w:tblW w:w="13097" w:type="dxa"/>
        <w:tblLook w:val="06A0" w:firstRow="1" w:lastRow="0" w:firstColumn="1" w:lastColumn="0" w:noHBand="1" w:noVBand="1"/>
      </w:tblPr>
      <w:tblGrid>
        <w:gridCol w:w="3570"/>
        <w:gridCol w:w="3915"/>
        <w:gridCol w:w="5612"/>
      </w:tblGrid>
      <w:tr w:rsidR="4CAC7F6E" w14:paraId="73AB43B9" w14:textId="77777777" w:rsidTr="27A37AF8">
        <w:trPr>
          <w:trHeight w:val="300"/>
        </w:trPr>
        <w:tc>
          <w:tcPr>
            <w:tcW w:w="3570" w:type="dxa"/>
          </w:tcPr>
          <w:p w14:paraId="11A071D4" w14:textId="2AA9D161" w:rsidR="2D647654" w:rsidRDefault="0C66AAD0" w:rsidP="4CAC7F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hyperlink r:id="rId10">
              <w:r w:rsidRPr="27A37AF8">
                <w:rPr>
                  <w:rStyle w:val="Hyperlink"/>
                  <w:rFonts w:ascii="Arial" w:eastAsia="Arial" w:hAnsi="Arial" w:cs="Arial"/>
                  <w:b/>
                  <w:bCs/>
                  <w:sz w:val="22"/>
                  <w:szCs w:val="22"/>
                </w:rPr>
                <w:t>Legislative requirements</w:t>
              </w:r>
            </w:hyperlink>
            <w:r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for a Child and Youth Risk Management Strategy</w:t>
            </w:r>
          </w:p>
        </w:tc>
        <w:tc>
          <w:tcPr>
            <w:tcW w:w="3915" w:type="dxa"/>
          </w:tcPr>
          <w:p w14:paraId="747642E2" w14:textId="118606C0" w:rsidR="2D647654" w:rsidRDefault="0C66AAD0" w:rsidP="4CAC7F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Relevant section of Vision Australia Child Safe policy</w:t>
            </w:r>
          </w:p>
        </w:tc>
        <w:tc>
          <w:tcPr>
            <w:tcW w:w="5612" w:type="dxa"/>
          </w:tcPr>
          <w:p w14:paraId="4529B6A8" w14:textId="215FF35F" w:rsidR="2D647654" w:rsidRDefault="0C66AAD0" w:rsidP="4CAC7F6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Alignment to the National Principles for a Child Safe Organisation</w:t>
            </w:r>
          </w:p>
        </w:tc>
      </w:tr>
      <w:tr w:rsidR="4CAC7F6E" w14:paraId="3A78F9D6" w14:textId="77777777" w:rsidTr="27A37AF8">
        <w:trPr>
          <w:trHeight w:val="300"/>
        </w:trPr>
        <w:tc>
          <w:tcPr>
            <w:tcW w:w="3570" w:type="dxa"/>
          </w:tcPr>
          <w:p w14:paraId="623D3C1F" w14:textId="7F278FC0" w:rsidR="092AA69A" w:rsidRDefault="7A4B50F3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C66AAD0" w:rsidRPr="27A37AF8">
              <w:rPr>
                <w:rFonts w:ascii="Arial" w:eastAsia="Arial" w:hAnsi="Arial" w:cs="Arial"/>
                <w:sz w:val="22"/>
                <w:szCs w:val="22"/>
              </w:rPr>
              <w:t>tatement of commitment to the safety and wellbeing of children and the protection of children from harm</w:t>
            </w:r>
          </w:p>
        </w:tc>
        <w:tc>
          <w:tcPr>
            <w:tcW w:w="3915" w:type="dxa"/>
          </w:tcPr>
          <w:p w14:paraId="36C42124" w14:textId="5023120B" w:rsidR="3F0C99B0" w:rsidRDefault="0FC8DF83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5C604834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Policy: Our Commitment to Child Safety</w:t>
            </w:r>
            <w:r w:rsidR="71AEE6FF" w:rsidRPr="27A37A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537BFA5" w:rsidRPr="27A37AF8">
              <w:rPr>
                <w:rFonts w:ascii="Arial" w:eastAsia="Arial" w:hAnsi="Arial" w:cs="Arial"/>
                <w:sz w:val="22"/>
                <w:szCs w:val="22"/>
              </w:rPr>
              <w:t xml:space="preserve">which includes statement of Commitment </w:t>
            </w:r>
            <w:r w:rsidR="3537BFA5" w:rsidRPr="27A37AF8">
              <w:rPr>
                <w:rFonts w:ascii="Arial" w:eastAsia="Arial" w:hAnsi="Arial" w:cs="Arial"/>
                <w:sz w:val="22"/>
                <w:szCs w:val="22"/>
                <w:lang w:val="en-AU"/>
              </w:rPr>
              <w:t>to promoting and protecting the interests of children and has zero tolerance for child harm or abuse</w:t>
            </w:r>
            <w:r w:rsidR="3537BFA5" w:rsidRPr="27A37AF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5FC7841F" w:rsidRPr="27A37AF8">
              <w:rPr>
                <w:rFonts w:ascii="Arial" w:eastAsia="Arial" w:hAnsi="Arial" w:cs="Arial"/>
                <w:sz w:val="22"/>
                <w:szCs w:val="22"/>
              </w:rPr>
              <w:t xml:space="preserve">of </w:t>
            </w:r>
            <w:r w:rsidR="1C908E34" w:rsidRPr="27A37AF8">
              <w:rPr>
                <w:rFonts w:ascii="Arial" w:eastAsia="Arial" w:hAnsi="Arial" w:cs="Arial"/>
                <w:sz w:val="22"/>
                <w:szCs w:val="22"/>
              </w:rPr>
              <w:t>VA Child Safe Policy and Guiding Procedure</w:t>
            </w:r>
            <w:r w:rsidR="5FC7841F" w:rsidRPr="27A37A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12" w:type="dxa"/>
          </w:tcPr>
          <w:p w14:paraId="57589E3B" w14:textId="4841753A" w:rsidR="3CD2639C" w:rsidRDefault="6A8230B6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1. Child safety and wellbeing </w:t>
            </w:r>
            <w:proofErr w:type="gramStart"/>
            <w:r w:rsidRPr="27A37AF8">
              <w:rPr>
                <w:rFonts w:ascii="Arial" w:eastAsia="Arial" w:hAnsi="Arial" w:cs="Arial"/>
                <w:sz w:val="22"/>
                <w:szCs w:val="22"/>
              </w:rPr>
              <w:t>is</w:t>
            </w:r>
            <w:proofErr w:type="gramEnd"/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embedded in organisational leadership, governance and culture. </w:t>
            </w:r>
          </w:p>
          <w:p w14:paraId="31E075C5" w14:textId="6122F6B3" w:rsidR="3CD2639C" w:rsidRDefault="6A8230B6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2. Children and young people are informed about their rights, participate in decisions affecting </w:t>
            </w:r>
            <w:r w:rsidR="7A042C06" w:rsidRPr="27A37AF8">
              <w:rPr>
                <w:rFonts w:ascii="Arial" w:eastAsia="Arial" w:hAnsi="Arial" w:cs="Arial"/>
                <w:sz w:val="22"/>
                <w:szCs w:val="22"/>
              </w:rPr>
              <w:t>them,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and are taken seriously. </w:t>
            </w:r>
          </w:p>
          <w:p w14:paraId="2DC6973C" w14:textId="6E897E62" w:rsidR="3CD2639C" w:rsidRDefault="6A8230B6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4. Equity is upheld and diverse needs respected in policy and practice. </w:t>
            </w:r>
          </w:p>
          <w:p w14:paraId="2BB9A421" w14:textId="1A4A3377" w:rsidR="3CD2639C" w:rsidRDefault="0FC86AA7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</w:t>
            </w:r>
            <w:r w:rsidR="2538263C" w:rsidRPr="27A37AF8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6A8230B6" w:rsidRPr="27A37AF8">
              <w:rPr>
                <w:rFonts w:ascii="Arial" w:eastAsia="Arial" w:hAnsi="Arial" w:cs="Arial"/>
                <w:sz w:val="22"/>
                <w:szCs w:val="22"/>
              </w:rPr>
              <w:t xml:space="preserve"> 8. Physical and online environments promote safety and wellbeing while minimising the opportunity for children and young people to be harmed. </w:t>
            </w:r>
          </w:p>
          <w:p w14:paraId="4E78F40F" w14:textId="77777777" w:rsidR="3CD2639C" w:rsidRDefault="06D1C2D4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</w:t>
            </w:r>
            <w:r w:rsidR="6A8230B6" w:rsidRPr="27A37AF8">
              <w:rPr>
                <w:rFonts w:ascii="Arial" w:eastAsia="Arial" w:hAnsi="Arial" w:cs="Arial"/>
                <w:sz w:val="22"/>
                <w:szCs w:val="22"/>
              </w:rPr>
              <w:t xml:space="preserve"> 10. Policies and procedures document how the organisation is safe for children and young people.</w:t>
            </w:r>
          </w:p>
          <w:p w14:paraId="0CC2D3B1" w14:textId="5E61A019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0C48898C" w14:textId="77777777" w:rsidTr="27A37AF8">
        <w:trPr>
          <w:trHeight w:val="300"/>
        </w:trPr>
        <w:tc>
          <w:tcPr>
            <w:tcW w:w="3570" w:type="dxa"/>
          </w:tcPr>
          <w:p w14:paraId="40E5ADF6" w14:textId="5489A05D" w:rsidR="2D647654" w:rsidRDefault="0C66AAD0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Code of Conduct for Interacting with Children</w:t>
            </w:r>
          </w:p>
        </w:tc>
        <w:tc>
          <w:tcPr>
            <w:tcW w:w="3915" w:type="dxa"/>
          </w:tcPr>
          <w:p w14:paraId="0B23CF56" w14:textId="77777777" w:rsidR="6CE175F3" w:rsidRDefault="0B66D9A3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20BF9119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Policy: W</w:t>
            </w:r>
            <w:r w:rsidR="5503CBC3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orkforce Conduct</w:t>
            </w:r>
            <w:r w:rsidR="2F915E44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571FCD5" w:rsidRPr="27A37AF8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69BAB71D" w:rsidRPr="27A37AF8">
              <w:rPr>
                <w:rFonts w:ascii="Arial" w:eastAsia="Arial" w:hAnsi="Arial" w:cs="Arial"/>
                <w:sz w:val="22"/>
                <w:szCs w:val="22"/>
              </w:rPr>
              <w:t>f Child Safe Policy and Guid</w:t>
            </w:r>
            <w:r w:rsidR="7918C872" w:rsidRPr="27A37AF8">
              <w:rPr>
                <w:rFonts w:ascii="Arial" w:eastAsia="Arial" w:hAnsi="Arial" w:cs="Arial"/>
                <w:sz w:val="22"/>
                <w:szCs w:val="22"/>
              </w:rPr>
              <w:t xml:space="preserve">ing Procedure. </w:t>
            </w:r>
          </w:p>
          <w:p w14:paraId="395C5AEB" w14:textId="57ABDE76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2" w:type="dxa"/>
          </w:tcPr>
          <w:p w14:paraId="64DB133A" w14:textId="137E845E" w:rsidR="071A0A96" w:rsidRDefault="2DDFF4E4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10. Policies and procedures document how the organisation is safe for children and young people.</w:t>
            </w:r>
          </w:p>
        </w:tc>
      </w:tr>
      <w:tr w:rsidR="4CAC7F6E" w14:paraId="2684B022" w14:textId="77777777" w:rsidTr="27A37AF8">
        <w:trPr>
          <w:trHeight w:val="300"/>
        </w:trPr>
        <w:tc>
          <w:tcPr>
            <w:tcW w:w="3570" w:type="dxa"/>
          </w:tcPr>
          <w:p w14:paraId="10641D9C" w14:textId="6C481314" w:rsidR="6EDED9BD" w:rsidRDefault="1B2C78E6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Recruitment, selection, training and management </w:t>
            </w:r>
            <w:r w:rsidR="2A665928" w:rsidRPr="27A37AF8">
              <w:rPr>
                <w:rFonts w:ascii="Arial" w:eastAsia="Arial" w:hAnsi="Arial" w:cs="Arial"/>
                <w:sz w:val="22"/>
                <w:szCs w:val="22"/>
              </w:rPr>
              <w:t>staff and volunteers</w:t>
            </w:r>
          </w:p>
        </w:tc>
        <w:tc>
          <w:tcPr>
            <w:tcW w:w="3915" w:type="dxa"/>
          </w:tcPr>
          <w:p w14:paraId="335F6B90" w14:textId="4FDDF05E" w:rsidR="4E5F94F4" w:rsidRDefault="3E886DF1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453BF464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Workforce Recruitment, Workforce Training and Supervision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of Child Safe Policy </w:t>
            </w:r>
            <w:r w:rsidR="713A6D13" w:rsidRPr="27A37AF8">
              <w:rPr>
                <w:rFonts w:ascii="Arial" w:eastAsia="Arial" w:hAnsi="Arial" w:cs="Arial"/>
                <w:sz w:val="22"/>
                <w:szCs w:val="22"/>
              </w:rPr>
              <w:t>and Guid</w:t>
            </w:r>
            <w:r w:rsidR="3299008D" w:rsidRPr="27A37AF8">
              <w:rPr>
                <w:rFonts w:ascii="Arial" w:eastAsia="Arial" w:hAnsi="Arial" w:cs="Arial"/>
                <w:sz w:val="22"/>
                <w:szCs w:val="22"/>
              </w:rPr>
              <w:t>ing Procedur</w:t>
            </w:r>
            <w:r w:rsidR="713A6D13" w:rsidRPr="27A37AF8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5612" w:type="dxa"/>
          </w:tcPr>
          <w:p w14:paraId="2B2F5151" w14:textId="0F3894F3" w:rsidR="567222A7" w:rsidRDefault="137141A1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5. People working with children and young people are suitable and supported to reflect child safety and wellbeing values in practice. </w:t>
            </w:r>
          </w:p>
          <w:p w14:paraId="216E5CAE" w14:textId="1880CC9C" w:rsidR="567222A7" w:rsidRDefault="137141A1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7. Staff and volunteers are equipped with </w:t>
            </w:r>
            <w:r w:rsidR="00712B6E" w:rsidRPr="27A37AF8">
              <w:rPr>
                <w:rFonts w:ascii="Arial" w:eastAsia="Arial" w:hAnsi="Arial" w:cs="Arial"/>
                <w:sz w:val="22"/>
                <w:szCs w:val="22"/>
              </w:rPr>
              <w:t>knowledge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>, skills and awareness to keep children and young people safe through ongoing education and training.</w:t>
            </w:r>
          </w:p>
          <w:p w14:paraId="07246E49" w14:textId="5D5E1A06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455D07DF" w14:textId="77777777" w:rsidTr="27A37AF8">
        <w:trPr>
          <w:trHeight w:val="300"/>
        </w:trPr>
        <w:tc>
          <w:tcPr>
            <w:tcW w:w="3570" w:type="dxa"/>
          </w:tcPr>
          <w:p w14:paraId="0623DA65" w14:textId="6BD24725" w:rsidR="36F6832A" w:rsidRDefault="3E75E4CC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lastRenderedPageBreak/>
              <w:t>P</w:t>
            </w:r>
            <w:r w:rsidR="0C66AAD0" w:rsidRPr="27A37AF8">
              <w:rPr>
                <w:rFonts w:ascii="Arial" w:eastAsia="Arial" w:hAnsi="Arial" w:cs="Arial"/>
                <w:sz w:val="22"/>
                <w:szCs w:val="22"/>
              </w:rPr>
              <w:t>olicies and procedures for handling disclosures or suspicions of harm, including reporting guidelines</w:t>
            </w:r>
          </w:p>
        </w:tc>
        <w:tc>
          <w:tcPr>
            <w:tcW w:w="3915" w:type="dxa"/>
          </w:tcPr>
          <w:p w14:paraId="02AFC808" w14:textId="01BEFB08" w:rsidR="1F2AC494" w:rsidRDefault="242A0E19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6AE8BE2A" w:rsidRPr="27A37AF8">
              <w:rPr>
                <w:rFonts w:ascii="Arial" w:eastAsia="Arial" w:hAnsi="Arial" w:cs="Arial"/>
                <w:b/>
                <w:bCs/>
                <w:sz w:val="22"/>
                <w:szCs w:val="22"/>
                <w:lang w:val="en-AU"/>
              </w:rPr>
              <w:t>Policy: Reporting disclosures, allegations, complaints or concerns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o</w:t>
            </w:r>
            <w:r w:rsidR="650275F6" w:rsidRPr="27A37AF8">
              <w:rPr>
                <w:rFonts w:ascii="Arial" w:eastAsia="Arial" w:hAnsi="Arial" w:cs="Arial"/>
                <w:sz w:val="22"/>
                <w:szCs w:val="22"/>
              </w:rPr>
              <w:t>f Child Safe Policy and Guiding Procedure</w:t>
            </w:r>
          </w:p>
        </w:tc>
        <w:tc>
          <w:tcPr>
            <w:tcW w:w="5612" w:type="dxa"/>
          </w:tcPr>
          <w:p w14:paraId="25481944" w14:textId="27803A8D" w:rsidR="04556643" w:rsidRDefault="67CCEA7F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10. Policies and procedures document how the organisation is safe for children and young people.</w:t>
            </w:r>
          </w:p>
        </w:tc>
      </w:tr>
      <w:tr w:rsidR="4CAC7F6E" w14:paraId="5B081671" w14:textId="77777777" w:rsidTr="27A37AF8">
        <w:trPr>
          <w:trHeight w:val="300"/>
        </w:trPr>
        <w:tc>
          <w:tcPr>
            <w:tcW w:w="3570" w:type="dxa"/>
          </w:tcPr>
          <w:p w14:paraId="463F7BC4" w14:textId="0185F3AC" w:rsidR="63CC2ECE" w:rsidRDefault="7749A702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C66AAD0" w:rsidRPr="27A37AF8">
              <w:rPr>
                <w:rFonts w:ascii="Arial" w:eastAsia="Arial" w:hAnsi="Arial" w:cs="Arial"/>
                <w:sz w:val="22"/>
                <w:szCs w:val="22"/>
              </w:rPr>
              <w:t>lan for managing breaches of this Risk Management Strategy</w:t>
            </w:r>
          </w:p>
        </w:tc>
        <w:tc>
          <w:tcPr>
            <w:tcW w:w="3915" w:type="dxa"/>
          </w:tcPr>
          <w:p w14:paraId="042E86CF" w14:textId="606C3609" w:rsidR="2B98210A" w:rsidRDefault="593C79C4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78A73E79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Legislative Obligations: </w:t>
            </w:r>
            <w:r w:rsidR="78A73E79" w:rsidRPr="27A37AF8">
              <w:rPr>
                <w:rFonts w:ascii="Arial" w:eastAsia="Arial" w:hAnsi="Arial" w:cs="Arial"/>
                <w:b/>
                <w:bCs/>
                <w:sz w:val="22"/>
                <w:szCs w:val="22"/>
                <w:lang w:val="en-AU"/>
              </w:rPr>
              <w:t xml:space="preserve">Breaches </w:t>
            </w:r>
            <w:r w:rsidR="1EA6D863" w:rsidRPr="27A37AF8">
              <w:rPr>
                <w:rFonts w:ascii="Arial" w:eastAsia="Arial" w:hAnsi="Arial" w:cs="Arial"/>
                <w:sz w:val="22"/>
                <w:szCs w:val="22"/>
              </w:rPr>
              <w:t>of Child Safe Policy and Guiding Procedure</w:t>
            </w:r>
          </w:p>
        </w:tc>
        <w:tc>
          <w:tcPr>
            <w:tcW w:w="5612" w:type="dxa"/>
          </w:tcPr>
          <w:p w14:paraId="0AAE8D4F" w14:textId="46595C07" w:rsidR="12CE9210" w:rsidRDefault="7C9310AD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10. Policies and procedures document how the </w:t>
            </w:r>
            <w:r w:rsidR="28BFF22D" w:rsidRPr="27A37AF8">
              <w:rPr>
                <w:rFonts w:ascii="Arial" w:eastAsia="Arial" w:hAnsi="Arial" w:cs="Arial"/>
                <w:sz w:val="22"/>
                <w:szCs w:val="22"/>
              </w:rPr>
              <w:t>organisation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is safe for children and young people.</w:t>
            </w:r>
          </w:p>
          <w:p w14:paraId="7CDD217D" w14:textId="12F4ABA1" w:rsidR="4CAC7F6E" w:rsidRDefault="4CAC7F6E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5DF56387" w14:textId="77777777" w:rsidTr="27A37AF8">
        <w:trPr>
          <w:trHeight w:val="300"/>
        </w:trPr>
        <w:tc>
          <w:tcPr>
            <w:tcW w:w="3570" w:type="dxa"/>
          </w:tcPr>
          <w:p w14:paraId="71350213" w14:textId="6099DEA7" w:rsidR="2D647654" w:rsidRDefault="0C66AAD0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Risk management plans for </w:t>
            </w:r>
            <w:r w:rsidR="00712B6E" w:rsidRPr="27A37AF8">
              <w:rPr>
                <w:rFonts w:ascii="Arial" w:eastAsia="Arial" w:hAnsi="Arial" w:cs="Arial"/>
                <w:sz w:val="22"/>
                <w:szCs w:val="22"/>
              </w:rPr>
              <w:t>high-risk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activities and special events</w:t>
            </w:r>
          </w:p>
        </w:tc>
        <w:tc>
          <w:tcPr>
            <w:tcW w:w="3915" w:type="dxa"/>
          </w:tcPr>
          <w:p w14:paraId="790DA0E9" w14:textId="50EDDD6A" w:rsidR="75EA2405" w:rsidRDefault="410299CB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74AE76D7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Legislative Obligations: </w:t>
            </w:r>
            <w:r w:rsidR="74AE76D7" w:rsidRPr="27A37AF8">
              <w:rPr>
                <w:rFonts w:ascii="Arial" w:eastAsia="Arial" w:hAnsi="Arial" w:cs="Arial"/>
                <w:b/>
                <w:bCs/>
                <w:sz w:val="22"/>
                <w:szCs w:val="22"/>
                <w:lang w:val="en-AU"/>
              </w:rPr>
              <w:t>Risk Management</w:t>
            </w:r>
            <w:r w:rsidR="74AE76D7" w:rsidRPr="27A37A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27A37AF8">
              <w:rPr>
                <w:rFonts w:ascii="Arial" w:eastAsia="Arial" w:hAnsi="Arial" w:cs="Arial"/>
                <w:sz w:val="22"/>
                <w:szCs w:val="22"/>
              </w:rPr>
              <w:t>of Child Safe Policy</w:t>
            </w:r>
          </w:p>
        </w:tc>
        <w:tc>
          <w:tcPr>
            <w:tcW w:w="5612" w:type="dxa"/>
          </w:tcPr>
          <w:p w14:paraId="5CEA108F" w14:textId="77777777" w:rsidR="6EF5163A" w:rsidRDefault="0DCCF459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8. Physical and online environments promote safety and wellbeing while minimising the opportunity for children and young people to be harmed.</w:t>
            </w:r>
          </w:p>
          <w:p w14:paraId="7F004597" w14:textId="6BBD11E2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265A1042" w14:textId="77777777" w:rsidTr="27A37AF8">
        <w:trPr>
          <w:trHeight w:val="300"/>
        </w:trPr>
        <w:tc>
          <w:tcPr>
            <w:tcW w:w="3570" w:type="dxa"/>
          </w:tcPr>
          <w:p w14:paraId="14C7B908" w14:textId="724AFCA1" w:rsidR="2D647654" w:rsidRDefault="0C66AAD0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Policies and procedures for managing compliance with the blue card system</w:t>
            </w:r>
          </w:p>
        </w:tc>
        <w:tc>
          <w:tcPr>
            <w:tcW w:w="3915" w:type="dxa"/>
          </w:tcPr>
          <w:p w14:paraId="4599445D" w14:textId="234A5FD8" w:rsidR="21C3F865" w:rsidRDefault="270E96C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47189CE6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Legislative Obligations: </w:t>
            </w:r>
            <w:r w:rsidR="45AB307C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Workforce Screening</w:t>
            </w:r>
            <w:r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6E115FF1" w:rsidRPr="27A37AF8">
              <w:rPr>
                <w:rFonts w:ascii="Arial" w:eastAsia="Arial" w:hAnsi="Arial" w:cs="Arial"/>
                <w:sz w:val="22"/>
                <w:szCs w:val="22"/>
              </w:rPr>
              <w:t>of Child Safe Policy and Guiding Procedure</w:t>
            </w:r>
          </w:p>
        </w:tc>
        <w:tc>
          <w:tcPr>
            <w:tcW w:w="5612" w:type="dxa"/>
          </w:tcPr>
          <w:p w14:paraId="6990F35D" w14:textId="5DEB7983" w:rsidR="7E051B2B" w:rsidRDefault="3E6593D4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5. People working with children and young people are suitable and supported to reflect child safety and wellbeing values in practice. </w:t>
            </w:r>
          </w:p>
          <w:p w14:paraId="3EA87317" w14:textId="77777777" w:rsidR="7E051B2B" w:rsidRDefault="3E6593D4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10. Policies and procedures document how the organisation is safe for children and young people.</w:t>
            </w:r>
          </w:p>
          <w:p w14:paraId="03AA8BA6" w14:textId="75CC1DC4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4F801075" w14:textId="77777777" w:rsidTr="27A37AF8">
        <w:trPr>
          <w:trHeight w:val="300"/>
        </w:trPr>
        <w:tc>
          <w:tcPr>
            <w:tcW w:w="3570" w:type="dxa"/>
          </w:tcPr>
          <w:p w14:paraId="2470D5C7" w14:textId="712DC9BC" w:rsidR="2D647654" w:rsidRDefault="0C66AAD0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Strategies for communication and support</w:t>
            </w:r>
          </w:p>
        </w:tc>
        <w:tc>
          <w:tcPr>
            <w:tcW w:w="3915" w:type="dxa"/>
          </w:tcPr>
          <w:p w14:paraId="1BDF7CA8" w14:textId="6D6318BB" w:rsidR="5138B2D9" w:rsidRDefault="26E034DC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="37B27352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Policy: </w:t>
            </w:r>
            <w:r w:rsidR="7C1EDF1C" w:rsidRPr="27A37AF8">
              <w:rPr>
                <w:rFonts w:ascii="Arial" w:eastAsia="Arial" w:hAnsi="Arial" w:cs="Arial"/>
                <w:b/>
                <w:bCs/>
                <w:sz w:val="22"/>
                <w:szCs w:val="22"/>
                <w:lang w:val="en-AU"/>
              </w:rPr>
              <w:t>Providing Support and referrals to Families</w:t>
            </w:r>
            <w:r w:rsidR="37B27352" w:rsidRPr="27A37AF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2DBB47CD" w:rsidRPr="27A37AF8">
              <w:rPr>
                <w:rFonts w:ascii="Arial" w:eastAsia="Arial" w:hAnsi="Arial" w:cs="Arial"/>
                <w:sz w:val="22"/>
                <w:szCs w:val="22"/>
              </w:rPr>
              <w:t>of Child Safe Policy and Guiding Procedure</w:t>
            </w:r>
          </w:p>
        </w:tc>
        <w:tc>
          <w:tcPr>
            <w:tcW w:w="5612" w:type="dxa"/>
          </w:tcPr>
          <w:p w14:paraId="62C6660D" w14:textId="4BAD24A9" w:rsidR="718528D8" w:rsidRDefault="33DDA887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Principle 1. Child safety and wellbeing </w:t>
            </w:r>
            <w:proofErr w:type="gramStart"/>
            <w:r w:rsidRPr="27A37AF8">
              <w:rPr>
                <w:rFonts w:ascii="Arial" w:eastAsia="Arial" w:hAnsi="Arial" w:cs="Arial"/>
                <w:sz w:val="22"/>
                <w:szCs w:val="22"/>
              </w:rPr>
              <w:t>is</w:t>
            </w:r>
            <w:proofErr w:type="gramEnd"/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 embedded in organisational leadership, governance and culture. Principle 2. Children and young people are informed about their rights, participate in decisions affecting them and are taken seriously. </w:t>
            </w:r>
          </w:p>
          <w:p w14:paraId="369100ED" w14:textId="77777777" w:rsidR="718528D8" w:rsidRDefault="33DDA887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3. Families and communities are informed and involved in promoting child safety and wellbeing. Principle 6. Processes for complaints and concerns are child focused.</w:t>
            </w:r>
          </w:p>
          <w:p w14:paraId="051643C3" w14:textId="7D030EE4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4CAC7F6E" w14:paraId="5F91C9B4" w14:textId="77777777" w:rsidTr="27A37AF8">
        <w:trPr>
          <w:trHeight w:val="300"/>
        </w:trPr>
        <w:tc>
          <w:tcPr>
            <w:tcW w:w="3570" w:type="dxa"/>
          </w:tcPr>
          <w:p w14:paraId="2AB9FF43" w14:textId="7D41BC8C" w:rsidR="2D647654" w:rsidRDefault="0C66AAD0" w:rsidP="4CAC7F6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Continuous improvement Annual Review of the Child and Youth Risk Management Strategy </w:t>
            </w:r>
          </w:p>
        </w:tc>
        <w:tc>
          <w:tcPr>
            <w:tcW w:w="3915" w:type="dxa"/>
          </w:tcPr>
          <w:p w14:paraId="0AC63BC4" w14:textId="77777777" w:rsidR="48E7E839" w:rsidRDefault="0A03C057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 xml:space="preserve">Section </w:t>
            </w:r>
            <w:r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Version </w:t>
            </w:r>
            <w:r w:rsidR="4B405D6E" w:rsidRPr="27A37AF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Control</w:t>
            </w:r>
            <w:r w:rsidR="4B405D6E" w:rsidRPr="27A37AF8">
              <w:rPr>
                <w:rFonts w:ascii="Arial" w:eastAsia="Arial" w:hAnsi="Arial" w:cs="Arial"/>
                <w:sz w:val="22"/>
                <w:szCs w:val="22"/>
              </w:rPr>
              <w:t>, Annual</w:t>
            </w:r>
            <w:r w:rsidR="66586B88" w:rsidRPr="27A37AF8">
              <w:rPr>
                <w:rFonts w:ascii="Arial" w:eastAsia="Arial" w:hAnsi="Arial" w:cs="Arial"/>
                <w:sz w:val="22"/>
                <w:szCs w:val="22"/>
              </w:rPr>
              <w:t xml:space="preserve"> review </w:t>
            </w:r>
            <w:r w:rsidR="25B5C726" w:rsidRPr="27A37AF8">
              <w:rPr>
                <w:rFonts w:ascii="Arial" w:eastAsia="Arial" w:hAnsi="Arial" w:cs="Arial"/>
                <w:sz w:val="22"/>
                <w:szCs w:val="22"/>
              </w:rPr>
              <w:t>of Child Safe Policy and Guiding Procedure</w:t>
            </w:r>
            <w:r w:rsidR="2302CD94" w:rsidRPr="27A37AF8">
              <w:rPr>
                <w:rFonts w:ascii="Arial" w:eastAsia="Arial" w:hAnsi="Arial" w:cs="Arial"/>
                <w:sz w:val="22"/>
                <w:szCs w:val="22"/>
              </w:rPr>
              <w:t xml:space="preserve">. Version Control Annual Review of Child and Youth Risk Management Strategy. </w:t>
            </w:r>
          </w:p>
          <w:p w14:paraId="2366F669" w14:textId="2F703220" w:rsidR="00712B6E" w:rsidRDefault="00712B6E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2" w:type="dxa"/>
          </w:tcPr>
          <w:p w14:paraId="49A4EF19" w14:textId="06A69B4A" w:rsidR="48E7E839" w:rsidRDefault="25ED6375" w:rsidP="27A37AF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A37AF8">
              <w:rPr>
                <w:rFonts w:ascii="Arial" w:eastAsia="Arial" w:hAnsi="Arial" w:cs="Arial"/>
                <w:sz w:val="22"/>
                <w:szCs w:val="22"/>
              </w:rPr>
              <w:t>Principle 9. Implementation of the national child safe principles is regularly reviewed and improved.</w:t>
            </w:r>
          </w:p>
        </w:tc>
      </w:tr>
    </w:tbl>
    <w:p w14:paraId="0C7F4CC7" w14:textId="2332BE1E" w:rsidR="4CAC7F6E" w:rsidRDefault="4CAC7F6E" w:rsidP="4CAC7F6E">
      <w:pPr>
        <w:rPr>
          <w:rFonts w:ascii="Arial" w:eastAsia="Arial" w:hAnsi="Arial" w:cs="Arial"/>
          <w:sz w:val="22"/>
          <w:szCs w:val="22"/>
        </w:rPr>
      </w:pPr>
    </w:p>
    <w:p w14:paraId="58D6C589" w14:textId="3576FC48" w:rsidR="11EA5E4B" w:rsidRPr="00ED08A2" w:rsidRDefault="11EA5E4B" w:rsidP="00ED08A2">
      <w:pPr>
        <w:pStyle w:val="Heading1"/>
      </w:pPr>
      <w:r w:rsidRPr="00ED08A2">
        <w:t>Document Control</w:t>
      </w:r>
    </w:p>
    <w:p w14:paraId="06678AB5" w14:textId="6BFE65F2" w:rsidR="11EA5E4B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27A37AF8">
        <w:rPr>
          <w:rFonts w:ascii="Arial" w:eastAsia="Arial" w:hAnsi="Arial" w:cs="Arial"/>
          <w:color w:val="000000" w:themeColor="text1"/>
          <w:lang w:val="en-AU"/>
        </w:rPr>
        <w:t>Created Date: March 2026</w:t>
      </w:r>
    </w:p>
    <w:p w14:paraId="6C5CE383" w14:textId="7B1E6645" w:rsidR="11EA5E4B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27A37AF8">
        <w:rPr>
          <w:rFonts w:ascii="Arial" w:eastAsia="Arial" w:hAnsi="Arial" w:cs="Arial"/>
          <w:color w:val="000000" w:themeColor="text1"/>
          <w:lang w:val="en-AU"/>
        </w:rPr>
        <w:t>Last Reviewed: March 2027</w:t>
      </w:r>
    </w:p>
    <w:p w14:paraId="5D8CA06E" w14:textId="02D5F967" w:rsidR="11EA5E4B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27A37AF8">
        <w:rPr>
          <w:rFonts w:ascii="Arial" w:eastAsia="Arial" w:hAnsi="Arial" w:cs="Arial"/>
          <w:color w:val="000000" w:themeColor="text1"/>
          <w:lang w:val="en-AU"/>
        </w:rPr>
        <w:t>Version: 1.0</w:t>
      </w:r>
    </w:p>
    <w:p w14:paraId="7EA2CE7A" w14:textId="6CFABCE9" w:rsidR="11EA5E4B" w:rsidRPr="00D52556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00D52556">
        <w:rPr>
          <w:rFonts w:ascii="Arial" w:eastAsia="Arial" w:hAnsi="Arial" w:cs="Arial"/>
          <w:color w:val="000000" w:themeColor="text1"/>
          <w:lang w:val="en-AU"/>
        </w:rPr>
        <w:t>Policy scope (level): 2</w:t>
      </w:r>
    </w:p>
    <w:p w14:paraId="2B36245D" w14:textId="08C76AB7" w:rsidR="11EA5E4B" w:rsidRPr="00D52556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00D52556">
        <w:rPr>
          <w:rFonts w:ascii="Arial" w:eastAsia="Arial" w:hAnsi="Arial" w:cs="Arial"/>
          <w:color w:val="000000" w:themeColor="text1"/>
          <w:lang w:val="en-AU"/>
        </w:rPr>
        <w:t xml:space="preserve">Prepared by: Compliance </w:t>
      </w:r>
    </w:p>
    <w:p w14:paraId="315DE714" w14:textId="1CB178BC" w:rsidR="11EA5E4B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00D52556">
        <w:rPr>
          <w:rFonts w:ascii="Arial" w:eastAsia="Arial" w:hAnsi="Arial" w:cs="Arial"/>
          <w:color w:val="000000" w:themeColor="text1"/>
          <w:lang w:val="en-AU"/>
        </w:rPr>
        <w:t>Approved by:  Leadership Team</w:t>
      </w:r>
    </w:p>
    <w:p w14:paraId="4C0ECD27" w14:textId="6DE585EA" w:rsidR="11EA5E4B" w:rsidRDefault="11EA5E4B" w:rsidP="27A37AF8">
      <w:pPr>
        <w:spacing w:after="120"/>
        <w:rPr>
          <w:rFonts w:ascii="Arial" w:eastAsia="Arial" w:hAnsi="Arial" w:cs="Arial"/>
          <w:color w:val="000000" w:themeColor="text1"/>
        </w:rPr>
      </w:pPr>
      <w:r w:rsidRPr="27A37AF8">
        <w:rPr>
          <w:rFonts w:ascii="Arial" w:eastAsia="Arial" w:hAnsi="Arial" w:cs="Arial"/>
          <w:color w:val="000000" w:themeColor="text1"/>
          <w:lang w:val="en-AU"/>
        </w:rPr>
        <w:t>Next Review: March 2027</w:t>
      </w:r>
    </w:p>
    <w:p w14:paraId="3E6B9D83" w14:textId="5EDA2CDA" w:rsidR="11EA5E4B" w:rsidRDefault="11EA5E4B" w:rsidP="27A37AF8">
      <w:pPr>
        <w:pStyle w:val="Heading2"/>
        <w:spacing w:before="200" w:after="0"/>
        <w:rPr>
          <w:rFonts w:ascii="Arial" w:eastAsia="Arial" w:hAnsi="Arial" w:cs="Arial"/>
          <w:b/>
          <w:bCs/>
          <w:color w:val="000000" w:themeColor="text1"/>
        </w:rPr>
      </w:pPr>
      <w:r w:rsidRPr="00ED08A2">
        <w:rPr>
          <w:rStyle w:val="Heading1Char"/>
        </w:rPr>
        <w:t>Version Control</w:t>
      </w:r>
      <w:r w:rsidRPr="27A37AF8">
        <w:rPr>
          <w:rFonts w:ascii="Arial" w:eastAsia="Arial" w:hAnsi="Arial" w:cs="Arial"/>
          <w:b/>
          <w:bCs/>
          <w:color w:val="000000" w:themeColor="text1"/>
          <w:lang w:val="en-AU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95"/>
        <w:gridCol w:w="1785"/>
        <w:gridCol w:w="1695"/>
        <w:gridCol w:w="2145"/>
        <w:gridCol w:w="1920"/>
        <w:gridCol w:w="2670"/>
      </w:tblGrid>
      <w:tr w:rsidR="27A37AF8" w14:paraId="214C9E71" w14:textId="77777777" w:rsidTr="27A37AF8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684ADF98" w14:textId="4ACED6ED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>Version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BA2B0C3" w14:textId="07482BF2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>Prepared by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23F76A98" w14:textId="56B2544B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>Approved by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4D505B91" w14:textId="0C77D6A2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>Effective date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</w:tcPr>
          <w:p w14:paraId="13C4B7EE" w14:textId="534F20B1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 xml:space="preserve">Reason for changes </w:t>
            </w:r>
          </w:p>
        </w:tc>
        <w:tc>
          <w:tcPr>
            <w:tcW w:w="2670" w:type="dxa"/>
            <w:tcMar>
              <w:left w:w="105" w:type="dxa"/>
              <w:right w:w="105" w:type="dxa"/>
            </w:tcMar>
          </w:tcPr>
          <w:p w14:paraId="20572EE9" w14:textId="7DFC6524" w:rsidR="27A37AF8" w:rsidRDefault="27A37AF8" w:rsidP="27A37AF8">
            <w:pPr>
              <w:tabs>
                <w:tab w:val="left" w:pos="2040"/>
              </w:tabs>
              <w:spacing w:after="120"/>
              <w:jc w:val="center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b/>
                <w:bCs/>
                <w:lang w:val="en-AU"/>
              </w:rPr>
              <w:t xml:space="preserve">Summary of Changes </w:t>
            </w:r>
          </w:p>
        </w:tc>
      </w:tr>
      <w:tr w:rsidR="27A37AF8" w14:paraId="0CDE4F9F" w14:textId="77777777" w:rsidTr="27A37AF8">
        <w:trPr>
          <w:trHeight w:val="300"/>
        </w:trPr>
        <w:tc>
          <w:tcPr>
            <w:tcW w:w="1395" w:type="dxa"/>
            <w:tcMar>
              <w:left w:w="105" w:type="dxa"/>
              <w:right w:w="105" w:type="dxa"/>
            </w:tcMar>
          </w:tcPr>
          <w:p w14:paraId="434A5A5C" w14:textId="0776C3A1" w:rsidR="27A37AF8" w:rsidRDefault="27A37AF8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lang w:val="en-AU"/>
              </w:rPr>
              <w:t>Version 1.0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7DBCE971" w14:textId="2CD534DF" w:rsidR="1BFC144B" w:rsidRDefault="1BFC144B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  <w:lang w:val="en-AU"/>
              </w:rPr>
            </w:pPr>
            <w:r w:rsidRPr="27A37AF8">
              <w:rPr>
                <w:rFonts w:ascii="Arial" w:eastAsia="Arial" w:hAnsi="Arial" w:cs="Arial"/>
                <w:lang w:val="en-AU"/>
              </w:rPr>
              <w:t>Service Excellence, Sam Coad</w:t>
            </w:r>
          </w:p>
        </w:tc>
        <w:tc>
          <w:tcPr>
            <w:tcW w:w="1695" w:type="dxa"/>
            <w:tcMar>
              <w:left w:w="105" w:type="dxa"/>
              <w:right w:w="105" w:type="dxa"/>
            </w:tcMar>
          </w:tcPr>
          <w:p w14:paraId="61562E4C" w14:textId="4054C145" w:rsidR="27A37AF8" w:rsidRDefault="27A37AF8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lang w:val="en-AU"/>
              </w:rPr>
              <w:t>Leadership Team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1580029A" w14:textId="59E522FA" w:rsidR="27A37AF8" w:rsidRDefault="27A37AF8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</w:rPr>
            </w:pPr>
            <w:r w:rsidRPr="27A37AF8">
              <w:rPr>
                <w:rFonts w:ascii="Arial" w:eastAsia="Arial" w:hAnsi="Arial" w:cs="Arial"/>
                <w:lang w:val="en-AU"/>
              </w:rPr>
              <w:t>March 20</w:t>
            </w:r>
            <w:r w:rsidR="612A6BB9" w:rsidRPr="27A37AF8">
              <w:rPr>
                <w:rFonts w:ascii="Arial" w:eastAsia="Arial" w:hAnsi="Arial" w:cs="Arial"/>
                <w:lang w:val="en-AU"/>
              </w:rPr>
              <w:t>26</w:t>
            </w:r>
          </w:p>
        </w:tc>
        <w:tc>
          <w:tcPr>
            <w:tcW w:w="192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</w:tcPr>
          <w:p w14:paraId="4C0CAF82" w14:textId="3CF57C13" w:rsidR="27A37AF8" w:rsidRDefault="27A37AF8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  <w:color w:val="BFBFBF" w:themeColor="background1" w:themeShade="BF"/>
              </w:rPr>
            </w:pPr>
          </w:p>
        </w:tc>
        <w:tc>
          <w:tcPr>
            <w:tcW w:w="2670" w:type="dxa"/>
            <w:shd w:val="clear" w:color="auto" w:fill="A6A6A6" w:themeFill="background1" w:themeFillShade="A6"/>
            <w:tcMar>
              <w:left w:w="105" w:type="dxa"/>
              <w:right w:w="105" w:type="dxa"/>
            </w:tcMar>
          </w:tcPr>
          <w:p w14:paraId="21813EBD" w14:textId="37694C3E" w:rsidR="27A37AF8" w:rsidRDefault="27A37AF8" w:rsidP="27A37AF8">
            <w:pPr>
              <w:tabs>
                <w:tab w:val="left" w:pos="2040"/>
              </w:tabs>
              <w:spacing w:after="120"/>
              <w:rPr>
                <w:rFonts w:ascii="Arial" w:eastAsia="Arial" w:hAnsi="Arial" w:cs="Arial"/>
                <w:color w:val="BFBFBF" w:themeColor="background1" w:themeShade="BF"/>
              </w:rPr>
            </w:pPr>
          </w:p>
        </w:tc>
      </w:tr>
    </w:tbl>
    <w:p w14:paraId="7348C832" w14:textId="2DA74BBC" w:rsidR="27A37AF8" w:rsidRDefault="27A37AF8" w:rsidP="27A37AF8">
      <w:pPr>
        <w:rPr>
          <w:rFonts w:ascii="Arial" w:eastAsia="Arial" w:hAnsi="Arial" w:cs="Arial"/>
          <w:sz w:val="22"/>
          <w:szCs w:val="22"/>
        </w:rPr>
      </w:pPr>
    </w:p>
    <w:sectPr w:rsidR="27A37AF8" w:rsidSect="004E6872">
      <w:headerReference w:type="default" r:id="rId11"/>
      <w:footerReference w:type="default" r:id="rId12"/>
      <w:head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2DB6" w14:textId="77777777" w:rsidR="00882960" w:rsidRDefault="00882960">
      <w:pPr>
        <w:spacing w:after="0" w:line="240" w:lineRule="auto"/>
      </w:pPr>
      <w:r>
        <w:separator/>
      </w:r>
    </w:p>
  </w:endnote>
  <w:endnote w:type="continuationSeparator" w:id="0">
    <w:p w14:paraId="06A84A1F" w14:textId="77777777" w:rsidR="00882960" w:rsidRDefault="0088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489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39945" w14:textId="4E624C24" w:rsidR="009613A2" w:rsidRDefault="009613A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046C5" w14:textId="2DA2B9B5" w:rsidR="27A37AF8" w:rsidRDefault="27A37AF8" w:rsidP="27A3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5C56" w14:textId="77777777" w:rsidR="00882960" w:rsidRDefault="00882960">
      <w:pPr>
        <w:spacing w:after="0" w:line="240" w:lineRule="auto"/>
      </w:pPr>
      <w:r>
        <w:separator/>
      </w:r>
    </w:p>
  </w:footnote>
  <w:footnote w:type="continuationSeparator" w:id="0">
    <w:p w14:paraId="0F129D06" w14:textId="77777777" w:rsidR="00882960" w:rsidRDefault="00882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7A37AF8" w14:paraId="50EEF75C" w14:textId="77777777" w:rsidTr="27A37AF8">
      <w:trPr>
        <w:trHeight w:val="300"/>
      </w:trPr>
      <w:tc>
        <w:tcPr>
          <w:tcW w:w="4320" w:type="dxa"/>
        </w:tcPr>
        <w:p w14:paraId="2C0517EF" w14:textId="725CB551" w:rsidR="27A37AF8" w:rsidRDefault="27A37AF8" w:rsidP="27A37AF8">
          <w:pPr>
            <w:pStyle w:val="Header"/>
            <w:ind w:left="-115"/>
          </w:pPr>
        </w:p>
      </w:tc>
      <w:tc>
        <w:tcPr>
          <w:tcW w:w="4320" w:type="dxa"/>
        </w:tcPr>
        <w:p w14:paraId="1AE8CDED" w14:textId="616905C3" w:rsidR="27A37AF8" w:rsidRDefault="27A37AF8" w:rsidP="27A37AF8">
          <w:pPr>
            <w:pStyle w:val="Header"/>
            <w:jc w:val="center"/>
          </w:pPr>
        </w:p>
      </w:tc>
      <w:tc>
        <w:tcPr>
          <w:tcW w:w="4320" w:type="dxa"/>
        </w:tcPr>
        <w:p w14:paraId="3CEE15D3" w14:textId="5CC105A5" w:rsidR="27A37AF8" w:rsidRDefault="27A37AF8" w:rsidP="27A37AF8">
          <w:pPr>
            <w:pStyle w:val="Header"/>
            <w:ind w:right="-115"/>
            <w:jc w:val="right"/>
          </w:pPr>
        </w:p>
      </w:tc>
    </w:tr>
  </w:tbl>
  <w:p w14:paraId="48AB5974" w14:textId="598C2C76" w:rsidR="27A37AF8" w:rsidRDefault="27A37AF8" w:rsidP="27A37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00B9" w14:textId="4DA6DFE6" w:rsidR="004E6872" w:rsidRDefault="004679F7">
    <w:pPr>
      <w:pStyle w:val="Header"/>
    </w:pPr>
    <w:r>
      <w:rPr>
        <w:noProof/>
        <w:lang w:eastAsia="en-AU"/>
      </w:rPr>
      <w:drawing>
        <wp:inline distT="0" distB="0" distL="0" distR="0" wp14:anchorId="15E85598" wp14:editId="0599D89B">
          <wp:extent cx="8220075" cy="984885"/>
          <wp:effectExtent l="0" t="0" r="9525" b="5715"/>
          <wp:docPr id="4" name="Picture 4" descr="Decorative - Vision Australia Link logo in blue with tageline Blindess. Low Vision. Opport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ignworks:WIP:Work in Progress:Vision Australia :VIS0011_Collateral Roll Out Batch One:FACTSHEET, FLYERS &amp; MISC:GENERIC FACT SHEET:Working file:VA_Generic_Fact Sheet_V01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075" cy="984885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kB12slgSTZF+" int2:id="0akClqbA">
      <int2:state int2:value="Rejected" int2:type="spell"/>
    </int2:textHash>
    <int2:textHash int2:hashCode="kv4UVae7TQCfC0" int2:id="JEKt74wU">
      <int2:state int2:value="Rejected" int2:type="spell"/>
    </int2:textHash>
    <int2:textHash int2:hashCode="z4sKLKF6MZ4yZL" int2:id="gCaiib7X">
      <int2:state int2:value="Rejected" int2:type="spell"/>
    </int2:textHash>
    <int2:textHash int2:hashCode="m/C6mGJeQTWOW1" int2:id="rt0c2ca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3A24A"/>
    <w:rsid w:val="000D2B42"/>
    <w:rsid w:val="000D4997"/>
    <w:rsid w:val="00133772"/>
    <w:rsid w:val="00143DBA"/>
    <w:rsid w:val="001C5415"/>
    <w:rsid w:val="001D37A3"/>
    <w:rsid w:val="001D383F"/>
    <w:rsid w:val="002F771B"/>
    <w:rsid w:val="00340C49"/>
    <w:rsid w:val="003E48DF"/>
    <w:rsid w:val="00412E64"/>
    <w:rsid w:val="00417B36"/>
    <w:rsid w:val="00417FEB"/>
    <w:rsid w:val="00427B57"/>
    <w:rsid w:val="004679F7"/>
    <w:rsid w:val="004E6872"/>
    <w:rsid w:val="00514927"/>
    <w:rsid w:val="00535F96"/>
    <w:rsid w:val="00571BB5"/>
    <w:rsid w:val="005C1EE6"/>
    <w:rsid w:val="00670510"/>
    <w:rsid w:val="006B2481"/>
    <w:rsid w:val="006FC90D"/>
    <w:rsid w:val="00712B6E"/>
    <w:rsid w:val="00736655"/>
    <w:rsid w:val="00736F8D"/>
    <w:rsid w:val="00797789"/>
    <w:rsid w:val="007E13BF"/>
    <w:rsid w:val="00882960"/>
    <w:rsid w:val="008B3EE1"/>
    <w:rsid w:val="00912BDA"/>
    <w:rsid w:val="009307F2"/>
    <w:rsid w:val="009576FB"/>
    <w:rsid w:val="009613A2"/>
    <w:rsid w:val="00AA02B0"/>
    <w:rsid w:val="00BA3370"/>
    <w:rsid w:val="00C24270"/>
    <w:rsid w:val="00CD5A51"/>
    <w:rsid w:val="00D52556"/>
    <w:rsid w:val="00DC1DD2"/>
    <w:rsid w:val="00E16574"/>
    <w:rsid w:val="00E248A8"/>
    <w:rsid w:val="00E24FC8"/>
    <w:rsid w:val="00E32327"/>
    <w:rsid w:val="00E8521C"/>
    <w:rsid w:val="00EB0E0B"/>
    <w:rsid w:val="00ED08A2"/>
    <w:rsid w:val="00FA3D06"/>
    <w:rsid w:val="01FD6FDE"/>
    <w:rsid w:val="021C5C11"/>
    <w:rsid w:val="02FDB6C6"/>
    <w:rsid w:val="04556643"/>
    <w:rsid w:val="0538237A"/>
    <w:rsid w:val="0571FCD5"/>
    <w:rsid w:val="05C0C1FB"/>
    <w:rsid w:val="06D1C2D4"/>
    <w:rsid w:val="071A0A96"/>
    <w:rsid w:val="08C534E6"/>
    <w:rsid w:val="08D53788"/>
    <w:rsid w:val="092AA69A"/>
    <w:rsid w:val="0976C377"/>
    <w:rsid w:val="09F97AE0"/>
    <w:rsid w:val="0A03C057"/>
    <w:rsid w:val="0B66D9A3"/>
    <w:rsid w:val="0C66AAD0"/>
    <w:rsid w:val="0DBD1F6A"/>
    <w:rsid w:val="0DCC563C"/>
    <w:rsid w:val="0DCCF459"/>
    <w:rsid w:val="0DF2991B"/>
    <w:rsid w:val="0E388827"/>
    <w:rsid w:val="0F1E29AA"/>
    <w:rsid w:val="0FC86AA7"/>
    <w:rsid w:val="0FC8DF83"/>
    <w:rsid w:val="11EA5E4B"/>
    <w:rsid w:val="12CE9210"/>
    <w:rsid w:val="131D2F61"/>
    <w:rsid w:val="137141A1"/>
    <w:rsid w:val="13883D1A"/>
    <w:rsid w:val="13DE95CF"/>
    <w:rsid w:val="14C5A49F"/>
    <w:rsid w:val="14D5A44B"/>
    <w:rsid w:val="151C8037"/>
    <w:rsid w:val="170953E4"/>
    <w:rsid w:val="182FDBA8"/>
    <w:rsid w:val="1849AC1F"/>
    <w:rsid w:val="18517F21"/>
    <w:rsid w:val="1A572874"/>
    <w:rsid w:val="1B2C78E6"/>
    <w:rsid w:val="1B9E2931"/>
    <w:rsid w:val="1BA41454"/>
    <w:rsid w:val="1BFC144B"/>
    <w:rsid w:val="1C908E34"/>
    <w:rsid w:val="1D88A044"/>
    <w:rsid w:val="1DB1DEE3"/>
    <w:rsid w:val="1E00EA86"/>
    <w:rsid w:val="1E22B603"/>
    <w:rsid w:val="1EA6D863"/>
    <w:rsid w:val="1F2AC494"/>
    <w:rsid w:val="1F5C71F0"/>
    <w:rsid w:val="2039BA54"/>
    <w:rsid w:val="20BF9119"/>
    <w:rsid w:val="216D3C35"/>
    <w:rsid w:val="21C3F865"/>
    <w:rsid w:val="228002DC"/>
    <w:rsid w:val="2302CD94"/>
    <w:rsid w:val="242A0E19"/>
    <w:rsid w:val="243A758A"/>
    <w:rsid w:val="25126C3A"/>
    <w:rsid w:val="2538263C"/>
    <w:rsid w:val="25B5C726"/>
    <w:rsid w:val="25ED6375"/>
    <w:rsid w:val="2695BF73"/>
    <w:rsid w:val="2698FD12"/>
    <w:rsid w:val="26E034DC"/>
    <w:rsid w:val="270E96CE"/>
    <w:rsid w:val="271AA592"/>
    <w:rsid w:val="275EF5BB"/>
    <w:rsid w:val="27A37AF8"/>
    <w:rsid w:val="28BFF22D"/>
    <w:rsid w:val="290BC6A6"/>
    <w:rsid w:val="2A665928"/>
    <w:rsid w:val="2B5A6397"/>
    <w:rsid w:val="2B98210A"/>
    <w:rsid w:val="2CAE7475"/>
    <w:rsid w:val="2CB3DCE8"/>
    <w:rsid w:val="2D43D7EF"/>
    <w:rsid w:val="2D647654"/>
    <w:rsid w:val="2DBB47CD"/>
    <w:rsid w:val="2DDFF4E4"/>
    <w:rsid w:val="2F8B2A38"/>
    <w:rsid w:val="2F915E44"/>
    <w:rsid w:val="3111BEF1"/>
    <w:rsid w:val="31C71272"/>
    <w:rsid w:val="3299008D"/>
    <w:rsid w:val="33DDA887"/>
    <w:rsid w:val="3498431B"/>
    <w:rsid w:val="352003FC"/>
    <w:rsid w:val="3537BFA5"/>
    <w:rsid w:val="357E5FE4"/>
    <w:rsid w:val="36B81010"/>
    <w:rsid w:val="36F6832A"/>
    <w:rsid w:val="3741C5A5"/>
    <w:rsid w:val="37B27352"/>
    <w:rsid w:val="3B9B4762"/>
    <w:rsid w:val="3BB11603"/>
    <w:rsid w:val="3BF3A24A"/>
    <w:rsid w:val="3CD2639C"/>
    <w:rsid w:val="3E031BD7"/>
    <w:rsid w:val="3E6593D4"/>
    <w:rsid w:val="3E75E4CC"/>
    <w:rsid w:val="3E886DF1"/>
    <w:rsid w:val="3ED96D7A"/>
    <w:rsid w:val="3F0C99B0"/>
    <w:rsid w:val="3F32248C"/>
    <w:rsid w:val="3F863BC5"/>
    <w:rsid w:val="40B45033"/>
    <w:rsid w:val="410299CB"/>
    <w:rsid w:val="4443D8D9"/>
    <w:rsid w:val="453BF464"/>
    <w:rsid w:val="45AB307C"/>
    <w:rsid w:val="47189CE6"/>
    <w:rsid w:val="4780DAFC"/>
    <w:rsid w:val="48E7E839"/>
    <w:rsid w:val="49467399"/>
    <w:rsid w:val="49FE56AB"/>
    <w:rsid w:val="4B405D6E"/>
    <w:rsid w:val="4CAC7F6E"/>
    <w:rsid w:val="4CD9765B"/>
    <w:rsid w:val="4D522788"/>
    <w:rsid w:val="4E5F94F4"/>
    <w:rsid w:val="4E82D643"/>
    <w:rsid w:val="4EFD0B01"/>
    <w:rsid w:val="4F0110C1"/>
    <w:rsid w:val="5138B2D9"/>
    <w:rsid w:val="5248B252"/>
    <w:rsid w:val="52BDC49A"/>
    <w:rsid w:val="53902AE9"/>
    <w:rsid w:val="53A56134"/>
    <w:rsid w:val="54330FD4"/>
    <w:rsid w:val="54643342"/>
    <w:rsid w:val="5494A0D3"/>
    <w:rsid w:val="5503CBC3"/>
    <w:rsid w:val="565DBD35"/>
    <w:rsid w:val="567222A7"/>
    <w:rsid w:val="580D9F7F"/>
    <w:rsid w:val="584CC31B"/>
    <w:rsid w:val="586B9B25"/>
    <w:rsid w:val="592126C8"/>
    <w:rsid w:val="593C79C4"/>
    <w:rsid w:val="5C01BAF4"/>
    <w:rsid w:val="5C604834"/>
    <w:rsid w:val="5EF1B0EA"/>
    <w:rsid w:val="5FC7841F"/>
    <w:rsid w:val="6036F30D"/>
    <w:rsid w:val="612A6BB9"/>
    <w:rsid w:val="624201A2"/>
    <w:rsid w:val="63599767"/>
    <w:rsid w:val="63CC2ECE"/>
    <w:rsid w:val="642BFDDE"/>
    <w:rsid w:val="64B83FD0"/>
    <w:rsid w:val="64D941D2"/>
    <w:rsid w:val="650275F6"/>
    <w:rsid w:val="65424F5E"/>
    <w:rsid w:val="66586B88"/>
    <w:rsid w:val="6668E425"/>
    <w:rsid w:val="6722F129"/>
    <w:rsid w:val="674B3048"/>
    <w:rsid w:val="67B3D644"/>
    <w:rsid w:val="67CCEA7F"/>
    <w:rsid w:val="68288791"/>
    <w:rsid w:val="696A1B6C"/>
    <w:rsid w:val="69BAB71D"/>
    <w:rsid w:val="6A81245B"/>
    <w:rsid w:val="6A8230B6"/>
    <w:rsid w:val="6AE8BE2A"/>
    <w:rsid w:val="6C2A8D25"/>
    <w:rsid w:val="6CE175F3"/>
    <w:rsid w:val="6D3E6213"/>
    <w:rsid w:val="6E115FF1"/>
    <w:rsid w:val="6E277D8C"/>
    <w:rsid w:val="6EBF56A8"/>
    <w:rsid w:val="6EDED9BD"/>
    <w:rsid w:val="6EF5163A"/>
    <w:rsid w:val="6F528244"/>
    <w:rsid w:val="6FCFB44C"/>
    <w:rsid w:val="7065016A"/>
    <w:rsid w:val="70DB60BE"/>
    <w:rsid w:val="713A6D13"/>
    <w:rsid w:val="718528D8"/>
    <w:rsid w:val="71AEE6FF"/>
    <w:rsid w:val="71BB8A68"/>
    <w:rsid w:val="72D01C3B"/>
    <w:rsid w:val="73BDAB9E"/>
    <w:rsid w:val="74AE76D7"/>
    <w:rsid w:val="74EEC4FC"/>
    <w:rsid w:val="75EA2405"/>
    <w:rsid w:val="7749A702"/>
    <w:rsid w:val="774C760A"/>
    <w:rsid w:val="774FA594"/>
    <w:rsid w:val="78A73E79"/>
    <w:rsid w:val="78AEFA30"/>
    <w:rsid w:val="7918C872"/>
    <w:rsid w:val="79F5E99B"/>
    <w:rsid w:val="7A042C06"/>
    <w:rsid w:val="7A4B50F3"/>
    <w:rsid w:val="7A5A8CC8"/>
    <w:rsid w:val="7C1EDF1C"/>
    <w:rsid w:val="7C9310AD"/>
    <w:rsid w:val="7D56A196"/>
    <w:rsid w:val="7E051B2B"/>
    <w:rsid w:val="7E14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A24A"/>
  <w15:chartTrackingRefBased/>
  <w15:docId w15:val="{685D173A-5F5F-4B96-BA00-B06C8F08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D08A2"/>
    <w:pPr>
      <w:spacing w:before="200" w:after="0"/>
      <w:outlineLvl w:val="0"/>
    </w:pPr>
    <w:rPr>
      <w:rFonts w:ascii="Arial" w:eastAsia="Arial" w:hAnsi="Arial" w:cs="Arial"/>
      <w:b/>
      <w:bCs/>
      <w:color w:val="000000" w:themeColor="text1"/>
      <w:lang w:val="en-AU"/>
    </w:rPr>
  </w:style>
  <w:style w:type="paragraph" w:styleId="Heading2">
    <w:name w:val="heading 2"/>
    <w:basedOn w:val="Normal"/>
    <w:next w:val="Normal"/>
    <w:uiPriority w:val="9"/>
    <w:unhideWhenUsed/>
    <w:qFormat/>
    <w:rsid w:val="27A3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CAC7F6E"/>
    <w:rPr>
      <w:color w:val="467886"/>
      <w:u w:val="single"/>
    </w:rPr>
  </w:style>
  <w:style w:type="paragraph" w:styleId="Title">
    <w:name w:val="Title"/>
    <w:basedOn w:val="Normal"/>
    <w:next w:val="Normal"/>
    <w:uiPriority w:val="10"/>
    <w:qFormat/>
    <w:rsid w:val="00ED08A2"/>
    <w:pPr>
      <w:keepNext/>
      <w:keepLines/>
      <w:spacing w:before="120" w:after="0" w:line="240" w:lineRule="auto"/>
      <w:contextualSpacing/>
    </w:pPr>
    <w:rPr>
      <w:rFonts w:ascii="Arial" w:eastAsia="Arial" w:hAnsi="Arial" w:cs="Arial"/>
      <w:b/>
      <w:bCs/>
      <w:color w:val="000000" w:themeColor="text1"/>
      <w:sz w:val="56"/>
      <w:szCs w:val="56"/>
      <w:lang w:val="en-AU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27A37AF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7A3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08A2"/>
    <w:rPr>
      <w:rFonts w:ascii="Arial" w:eastAsia="Arial" w:hAnsi="Arial" w:cs="Arial"/>
      <w:b/>
      <w:bCs/>
      <w:color w:val="000000" w:themeColor="text1"/>
      <w:sz w:val="32"/>
      <w:szCs w:val="3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6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qld.gov.au/law/laws-regulated-industries-and-accountability/queensland-laws-and-regulations/regulated-industries-and-licensing/blue-card/organisations/risk-management-strateg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110DA4DEAFB49AF0AE6B232EC0BC5" ma:contentTypeVersion="20" ma:contentTypeDescription="Create a new document." ma:contentTypeScope="" ma:versionID="9fc9a1edc3fb4cbf1b0a1f1f6204529e">
  <xsd:schema xmlns:xsd="http://www.w3.org/2001/XMLSchema" xmlns:xs="http://www.w3.org/2001/XMLSchema" xmlns:p="http://schemas.microsoft.com/office/2006/metadata/properties" xmlns:ns2="439bc4ae-2ae9-49ca-8064-2d446c1fe790" xmlns:ns3="80e5e189-e730-4b79-a0bd-35bf51b54a80" targetNamespace="http://schemas.microsoft.com/office/2006/metadata/properties" ma:root="true" ma:fieldsID="a30a657f64093328b3efb17321900197" ns2:_="" ns3:_="">
    <xsd:import namespace="439bc4ae-2ae9-49ca-8064-2d446c1fe790"/>
    <xsd:import namespace="80e5e189-e730-4b79-a0bd-35bf51b54a80"/>
    <xsd:element name="properties">
      <xsd:complexType>
        <xsd:sequence>
          <xsd:element name="documentManagement">
            <xsd:complexType>
              <xsd:all>
                <xsd:element ref="ns2:Last_x0020_Review" minOccurs="0"/>
                <xsd:element ref="ns2:Next_x0020_Review_x0020_Date" minOccurs="0"/>
                <xsd:element ref="ns2:Person_x0020_Responsibl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OwningDepartment" minOccurs="0"/>
                <xsd:element ref="ns2:Policyor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c4ae-2ae9-49ca-8064-2d446c1fe790" elementFormDefault="qualified">
    <xsd:import namespace="http://schemas.microsoft.com/office/2006/documentManagement/types"/>
    <xsd:import namespace="http://schemas.microsoft.com/office/infopath/2007/PartnerControls"/>
    <xsd:element name="Last_x0020_Review" ma:index="2" nillable="true" ma:displayName="Last Review Date" ma:format="DateOnly" ma:internalName="Last_x0020_Review" ma:readOnly="false">
      <xsd:simpleType>
        <xsd:restriction base="dms:DateTime"/>
      </xsd:simpleType>
    </xsd:element>
    <xsd:element name="Next_x0020_Review_x0020_Date" ma:index="3" nillable="true" ma:displayName="Next Review Date" ma:format="DateOnly" ma:internalName="Next_x0020_Review_x0020_Date" ma:readOnly="false">
      <xsd:simpleType>
        <xsd:restriction base="dms:DateTime"/>
      </xsd:simpleType>
    </xsd:element>
    <xsd:element name="Person_x0020_Responsible" ma:index="4" nillable="true" ma:displayName="Person Responsible" ma:format="Dropdown" ma:list="UserInfo" ma:SharePointGroup="0" ma:internalName="Person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7" nillable="true" ma:displayName="Status" ma:default="Active" ma:format="Dropdown" ma:internalName="Status">
      <xsd:simpleType>
        <xsd:restriction base="dms:Choice">
          <xsd:enumeration value="Active"/>
          <xsd:enumeration value="Archived"/>
          <xsd:enumeration value="Replaced"/>
          <xsd:enumeration value="Under review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ingDepartment" ma:index="20" nillable="true" ma:displayName="Owning Department" ma:format="Dropdown" ma:internalName="OwningDepartment">
      <xsd:simpleType>
        <xsd:restriction base="dms:Choice">
          <xsd:enumeration value="Board Secretary"/>
          <xsd:enumeration value="CEO's office"/>
          <xsd:enumeration value="CFO"/>
          <xsd:enumeration value="Client Services"/>
          <xsd:enumeration value="Commercial and National Services"/>
          <xsd:enumeration value="Communications"/>
          <xsd:enumeration value="Complaints"/>
          <xsd:enumeration value="Compliance"/>
          <xsd:enumeration value="Finance"/>
          <xsd:enumeration value="Fundraising"/>
          <xsd:enumeration value="Government Relations"/>
          <xsd:enumeration value="Marketing and Fundraising"/>
          <xsd:enumeration value="National Programs"/>
          <xsd:enumeration value="NDIS and Aged Care Team"/>
          <xsd:enumeration value="OSI"/>
          <xsd:enumeration value="People and Culture"/>
          <xsd:enumeration value="Seeing Eye Dogs"/>
          <xsd:enumeration value="Service Exellence"/>
          <xsd:enumeration value="Technology Services"/>
          <xsd:enumeration value="WHS"/>
        </xsd:restriction>
      </xsd:simpleType>
    </xsd:element>
    <xsd:element name="PolicyorProcedure" ma:index="21" nillable="true" ma:displayName="Policy or Procedure" ma:format="Dropdown" ma:internalName="PolicyorProcedure">
      <xsd:simpleType>
        <xsd:restriction base="dms:Choice">
          <xsd:enumeration value="Policy"/>
          <xsd:enumeration value="Proced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e189-e730-4b79-a0bd-35bf51b5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orProcedure xmlns="439bc4ae-2ae9-49ca-8064-2d446c1fe790">Procedure</PolicyorProcedure>
    <Person_x0020_Responsible xmlns="439bc4ae-2ae9-49ca-8064-2d446c1fe790">
      <UserInfo>
        <DisplayName>Carlia Rix</DisplayName>
        <AccountId>1044</AccountId>
        <AccountType/>
      </UserInfo>
    </Person_x0020_Responsible>
    <Last_x0020_Review xmlns="439bc4ae-2ae9-49ca-8064-2d446c1fe790">2026-02-28T13:00:00+00:00</Last_x0020_Review>
    <Next_x0020_Review_x0020_Date xmlns="439bc4ae-2ae9-49ca-8064-2d446c1fe790">2027-02-28T13:00:00+00:00</Next_x0020_Review_x0020_Date>
    <Status xmlns="439bc4ae-2ae9-49ca-8064-2d446c1fe790">Active</Status>
    <OwningDepartment xmlns="439bc4ae-2ae9-49ca-8064-2d446c1fe790">Service Exellence</OwningDepartment>
  </documentManagement>
</p:properties>
</file>

<file path=customXml/itemProps1.xml><?xml version="1.0" encoding="utf-8"?>
<ds:datastoreItem xmlns:ds="http://schemas.openxmlformats.org/officeDocument/2006/customXml" ds:itemID="{2389A118-6C81-4FAE-A431-A697CA497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30E92-23D2-41EC-8055-AFC4D562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bc4ae-2ae9-49ca-8064-2d446c1fe790"/>
    <ds:schemaRef ds:uri="80e5e189-e730-4b79-a0bd-35bf51b54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7D0E8-4B50-4EF4-B0D9-C831693266B4}">
  <ds:schemaRefs>
    <ds:schemaRef ds:uri="http://schemas.microsoft.com/office/2006/metadata/properties"/>
    <ds:schemaRef ds:uri="http://schemas.microsoft.com/office/infopath/2007/PartnerControls"/>
    <ds:schemaRef ds:uri="439bc4ae-2ae9-49ca-8064-2d446c1fe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709</Words>
  <Characters>4191</Characters>
  <Application>Microsoft Office Word</Application>
  <DocSecurity>0</DocSecurity>
  <Lines>155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Links>
    <vt:vector size="6" baseType="variant">
      <vt:variant>
        <vt:i4>851988</vt:i4>
      </vt:variant>
      <vt:variant>
        <vt:i4>0</vt:i4>
      </vt:variant>
      <vt:variant>
        <vt:i4>0</vt:i4>
      </vt:variant>
      <vt:variant>
        <vt:i4>5</vt:i4>
      </vt:variant>
      <vt:variant>
        <vt:lpwstr>https://www.qld.gov.au/law/laws-regulated-industries-and-accountability/queensland-laws-and-regulations/regulated-industries-and-licensing/blue-card/organisations/risk-management-strategies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Youth Risk Management Strategy</dc:title>
  <dc:subject/>
  <cp:keywords/>
  <dc:description/>
  <dcterms:created xsi:type="dcterms:W3CDTF">2026-03-17T08:34:00Z</dcterms:created>
  <dcterms:modified xsi:type="dcterms:W3CDTF">2026-04-30T02:52:00Z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0x01010015D110DA4DEAFB49AF0AE6B232EC0BC5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